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BA00D0" w:rsidRDefault="00BA00D0" w:rsidP="00BA0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 16/2018) , Одлуке о буџету општине Пријепоље за 2019. годину ("Службени гласник општине Пријепоље" број  9/2018),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 буџета oпштине Пријепоље у 2019. години</w:t>
      </w:r>
      <w:r>
        <w:rPr>
          <w:rFonts w:ascii="Times New Roman" w:eastAsia="Times New Roman" w:hAnsi="Times New Roman" w:cs="Times New Roman"/>
          <w:sz w:val="24"/>
          <w:szCs w:val="24"/>
        </w:rPr>
        <w:t>, број 06-9/19 од 29.01.2019. године,   Председник општине Пр</w:t>
      </w:r>
      <w:r w:rsidR="00335FB1">
        <w:rPr>
          <w:rFonts w:ascii="Times New Roman" w:eastAsia="Times New Roman" w:hAnsi="Times New Roman" w:cs="Times New Roman"/>
          <w:sz w:val="24"/>
          <w:szCs w:val="24"/>
        </w:rPr>
        <w:t>ијепоље, дана 29.03.2019.године</w:t>
      </w:r>
      <w:r>
        <w:rPr>
          <w:rFonts w:ascii="Times New Roman" w:eastAsia="Times New Roman" w:hAnsi="Times New Roman" w:cs="Times New Roman"/>
          <w:sz w:val="24"/>
          <w:szCs w:val="24"/>
        </w:rPr>
        <w:t>, расписује:</w:t>
      </w:r>
    </w:p>
    <w:p w:rsidR="00BA00D0" w:rsidRDefault="00BA00D0" w:rsidP="00BA00D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A00D0" w:rsidRDefault="00BA00D0" w:rsidP="00BA00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49764D" w:rsidRPr="0049764D" w:rsidRDefault="0049764D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764D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/финансирање програма  из области руралног развоја</w:t>
      </w:r>
    </w:p>
    <w:p w:rsidR="005D735B" w:rsidRPr="005D735B" w:rsidRDefault="005D735B" w:rsidP="00381386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4A5ECF" w:rsidRPr="005D735B" w:rsidRDefault="004A5ECF" w:rsidP="002E1DBD">
      <w:pPr>
        <w:rPr>
          <w:rFonts w:ascii="Times New Roman" w:eastAsia="Times New Roman" w:hAnsi="Times New Roman" w:cs="Times New Roman"/>
          <w:b/>
        </w:rPr>
      </w:pPr>
    </w:p>
    <w:p w:rsidR="00242574" w:rsidRPr="0049764D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</w:t>
      </w:r>
      <w:r w:rsidR="0049764D" w:rsidRPr="0049764D">
        <w:rPr>
          <w:rFonts w:ascii="Times New Roman" w:hAnsi="Times New Roman" w:cs="Times New Roman"/>
          <w:sz w:val="24"/>
          <w:szCs w:val="24"/>
          <w:lang w:val="sr-Cyrl-CS"/>
        </w:rPr>
        <w:t>из области руралног развоја.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BA00D0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2019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BA00D0">
        <w:rPr>
          <w:rFonts w:ascii="Times New Roman" w:eastAsia="Times New Roman" w:hAnsi="Times New Roman" w:cs="Times New Roman"/>
          <w:sz w:val="24"/>
          <w:szCs w:val="24"/>
        </w:rPr>
        <w:t xml:space="preserve"> , број  06-9/19 од 29.01.2019. 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36089C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764D" w:rsidRPr="0049764D">
        <w:rPr>
          <w:rFonts w:ascii="Times New Roman" w:hAnsi="Times New Roman" w:cs="Times New Roman"/>
          <w:sz w:val="24"/>
          <w:szCs w:val="24"/>
          <w:lang w:val="sr-Cyrl-CS"/>
        </w:rPr>
        <w:t>из области руралног развоја.</w:t>
      </w:r>
      <w:r w:rsidR="00EC5CF7" w:rsidRPr="0049764D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49764D">
        <w:rPr>
          <w:rFonts w:ascii="Times New Roman" w:eastAsia="Times New Roman" w:hAnsi="Times New Roman" w:cs="Times New Roman"/>
          <w:sz w:val="24"/>
          <w:szCs w:val="24"/>
        </w:rPr>
        <w:t>60</w:t>
      </w:r>
      <w:r w:rsidR="004569C8" w:rsidRPr="0049764D">
        <w:rPr>
          <w:rFonts w:ascii="Times New Roman" w:eastAsia="Times New Roman" w:hAnsi="Times New Roman" w:cs="Times New Roman"/>
          <w:sz w:val="24"/>
          <w:szCs w:val="24"/>
        </w:rPr>
        <w:t>0.000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49764D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5D735B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30.000,00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>ара</w:t>
      </w:r>
      <w:r w:rsidR="00087DBD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BA00D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49764D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49764D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49764D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49764D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49764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49764D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BA00D0">
        <w:rPr>
          <w:rFonts w:ascii="Times New Roman" w:hAnsi="Times New Roman"/>
          <w:sz w:val="24"/>
          <w:szCs w:val="24"/>
        </w:rPr>
        <w:t>лизовати накасније до 31.12.2019</w:t>
      </w:r>
      <w:r w:rsidRPr="005D735B">
        <w:rPr>
          <w:rFonts w:ascii="Times New Roman" w:hAnsi="Times New Roman"/>
          <w:sz w:val="24"/>
          <w:szCs w:val="24"/>
        </w:rPr>
        <w:t>. године.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D735B" w:rsidRDefault="005D735B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A5ECF" w:rsidRDefault="004A5ECF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A5ECF" w:rsidRPr="004A5ECF" w:rsidRDefault="004A5ECF" w:rsidP="00BD0EBA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дана</w:t>
      </w:r>
      <w:r w:rsidR="00335FB1">
        <w:rPr>
          <w:rFonts w:ascii="Times New Roman" w:hAnsi="Times New Roman"/>
          <w:sz w:val="24"/>
          <w:szCs w:val="24"/>
        </w:rPr>
        <w:t xml:space="preserve"> од дана објављивања конкурса,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335FB1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335FB1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A5ECF" w:rsidRPr="005D735B" w:rsidRDefault="004A5ECF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ује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8D24BA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8D24BA" w:rsidRDefault="008D24BA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8D24BA" w:rsidRPr="008D24BA" w:rsidRDefault="008D24BA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lastRenderedPageBreak/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242574" w:rsidRPr="008D24BA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4A5ECF" w:rsidRDefault="004A5ECF" w:rsidP="004A5E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DF4FC2">
        <w:rPr>
          <w:rFonts w:ascii="Times New Roman" w:hAnsi="Times New Roman" w:cs="Times New Roman"/>
          <w:b/>
          <w:sz w:val="24"/>
          <w:szCs w:val="24"/>
        </w:rPr>
        <w:t xml:space="preserve"> 403-558/19-5</w:t>
      </w:r>
    </w:p>
    <w:p w:rsidR="004A5ECF" w:rsidRPr="00BA00D0" w:rsidRDefault="004A5ECF" w:rsidP="004A5EC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BA00D0">
        <w:rPr>
          <w:rFonts w:ascii="Times New Roman" w:hAnsi="Times New Roman" w:cs="Times New Roman"/>
          <w:b/>
          <w:sz w:val="24"/>
          <w:szCs w:val="24"/>
        </w:rPr>
        <w:t xml:space="preserve"> 29.03.2019.године</w:t>
      </w:r>
    </w:p>
    <w:sectPr w:rsidR="004A5ECF" w:rsidRPr="00BA00D0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26E0" w:rsidRDefault="001826E0" w:rsidP="009F5EB6">
      <w:pPr>
        <w:spacing w:after="0" w:line="240" w:lineRule="auto"/>
      </w:pPr>
      <w:r>
        <w:separator/>
      </w:r>
    </w:p>
  </w:endnote>
  <w:endnote w:type="continuationSeparator" w:id="1">
    <w:p w:rsidR="001826E0" w:rsidRDefault="001826E0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26E0" w:rsidRDefault="001826E0" w:rsidP="009F5EB6">
      <w:pPr>
        <w:spacing w:after="0" w:line="240" w:lineRule="auto"/>
      </w:pPr>
      <w:r>
        <w:separator/>
      </w:r>
    </w:p>
  </w:footnote>
  <w:footnote w:type="continuationSeparator" w:id="1">
    <w:p w:rsidR="001826E0" w:rsidRDefault="001826E0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42321"/>
    <w:rsid w:val="00046214"/>
    <w:rsid w:val="0008202D"/>
    <w:rsid w:val="00087DBD"/>
    <w:rsid w:val="00097B9E"/>
    <w:rsid w:val="000E5087"/>
    <w:rsid w:val="001025FC"/>
    <w:rsid w:val="00104B44"/>
    <w:rsid w:val="001131BA"/>
    <w:rsid w:val="00115A50"/>
    <w:rsid w:val="00140617"/>
    <w:rsid w:val="001522B3"/>
    <w:rsid w:val="001826E0"/>
    <w:rsid w:val="001A624F"/>
    <w:rsid w:val="00224554"/>
    <w:rsid w:val="00242574"/>
    <w:rsid w:val="0024622C"/>
    <w:rsid w:val="00272462"/>
    <w:rsid w:val="002B00F6"/>
    <w:rsid w:val="002B1258"/>
    <w:rsid w:val="002D2A84"/>
    <w:rsid w:val="002E1DBD"/>
    <w:rsid w:val="00335FB1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69C8"/>
    <w:rsid w:val="0049764D"/>
    <w:rsid w:val="004A3426"/>
    <w:rsid w:val="004A5ECF"/>
    <w:rsid w:val="004E3E9B"/>
    <w:rsid w:val="00526D36"/>
    <w:rsid w:val="0055575A"/>
    <w:rsid w:val="00590FEF"/>
    <w:rsid w:val="005B2EC1"/>
    <w:rsid w:val="005B5449"/>
    <w:rsid w:val="005B7A15"/>
    <w:rsid w:val="005D735B"/>
    <w:rsid w:val="005E4D67"/>
    <w:rsid w:val="005F5EC6"/>
    <w:rsid w:val="005F63A3"/>
    <w:rsid w:val="006577BB"/>
    <w:rsid w:val="00672879"/>
    <w:rsid w:val="006755FF"/>
    <w:rsid w:val="00681091"/>
    <w:rsid w:val="006D446F"/>
    <w:rsid w:val="006D6CF9"/>
    <w:rsid w:val="006E724A"/>
    <w:rsid w:val="007224E5"/>
    <w:rsid w:val="0073612D"/>
    <w:rsid w:val="00737AD4"/>
    <w:rsid w:val="0075034F"/>
    <w:rsid w:val="00781E2E"/>
    <w:rsid w:val="007A4B38"/>
    <w:rsid w:val="007E6A5B"/>
    <w:rsid w:val="007E7773"/>
    <w:rsid w:val="008347B8"/>
    <w:rsid w:val="008539F2"/>
    <w:rsid w:val="0087296A"/>
    <w:rsid w:val="008B7244"/>
    <w:rsid w:val="008D0B1F"/>
    <w:rsid w:val="008D24BA"/>
    <w:rsid w:val="008D408E"/>
    <w:rsid w:val="008D6E02"/>
    <w:rsid w:val="008E66D0"/>
    <w:rsid w:val="008E7BAC"/>
    <w:rsid w:val="00900C4D"/>
    <w:rsid w:val="00902176"/>
    <w:rsid w:val="00906D54"/>
    <w:rsid w:val="00906FE3"/>
    <w:rsid w:val="009178BD"/>
    <w:rsid w:val="0092372B"/>
    <w:rsid w:val="0093681F"/>
    <w:rsid w:val="0093776C"/>
    <w:rsid w:val="00950B97"/>
    <w:rsid w:val="009618DB"/>
    <w:rsid w:val="009B73F1"/>
    <w:rsid w:val="009D63AF"/>
    <w:rsid w:val="009F5EB6"/>
    <w:rsid w:val="00A53D3C"/>
    <w:rsid w:val="00A55EBE"/>
    <w:rsid w:val="00A7721D"/>
    <w:rsid w:val="00AA17C3"/>
    <w:rsid w:val="00B31987"/>
    <w:rsid w:val="00B67A26"/>
    <w:rsid w:val="00B72779"/>
    <w:rsid w:val="00BA00D0"/>
    <w:rsid w:val="00BA08E1"/>
    <w:rsid w:val="00BA4341"/>
    <w:rsid w:val="00BD0EBA"/>
    <w:rsid w:val="00D0526D"/>
    <w:rsid w:val="00D52B22"/>
    <w:rsid w:val="00D6454F"/>
    <w:rsid w:val="00D92315"/>
    <w:rsid w:val="00DD730F"/>
    <w:rsid w:val="00DE71AB"/>
    <w:rsid w:val="00DF4FC2"/>
    <w:rsid w:val="00E73124"/>
    <w:rsid w:val="00E8061C"/>
    <w:rsid w:val="00EA57F7"/>
    <w:rsid w:val="00EB5B8A"/>
    <w:rsid w:val="00EC5CF7"/>
    <w:rsid w:val="00F049C4"/>
    <w:rsid w:val="00F14887"/>
    <w:rsid w:val="00F37212"/>
    <w:rsid w:val="00F43219"/>
    <w:rsid w:val="00F50F39"/>
    <w:rsid w:val="00F665DF"/>
    <w:rsid w:val="00F67E8C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0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1215</Words>
  <Characters>6928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8</cp:revision>
  <cp:lastPrinted>2018-07-19T06:38:00Z</cp:lastPrinted>
  <dcterms:created xsi:type="dcterms:W3CDTF">2019-03-28T07:13:00Z</dcterms:created>
  <dcterms:modified xsi:type="dcterms:W3CDTF">2019-03-29T10:57:00Z</dcterms:modified>
</cp:coreProperties>
</file>